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shd w:val="clear" w:fill="FFFFFF"/>
        <w:kinsoku/>
        <w:overflowPunct/>
        <w:topLinePunct w:val="0"/>
        <w:autoSpaceDE/>
        <w:autoSpaceDN/>
        <w:bidi w:val="0"/>
        <w:adjustRightInd/>
        <w:snapToGrid/>
        <w:spacing w:beforeAutospacing="0" w:afterAutospacing="0" w:line="240" w:lineRule="auto"/>
        <w:ind w:left="0" w:leftChars="0" w:right="0" w:rightChars="0" w:firstLine="0" w:firstLineChars="0"/>
        <w:jc w:val="center"/>
        <w:textAlignment w:val="auto"/>
        <w:outlineLvl w:val="9"/>
        <w:rPr>
          <w:rFonts w:hint="eastAsia" w:ascii="黑体" w:hAnsi="黑体" w:eastAsia="黑体" w:cs="黑体"/>
          <w:b/>
          <w:i w:val="0"/>
          <w:caps w:val="0"/>
          <w:color w:val="auto"/>
          <w:spacing w:val="0"/>
          <w:sz w:val="36"/>
          <w:szCs w:val="36"/>
        </w:rPr>
      </w:pPr>
      <w:r>
        <w:rPr>
          <w:rFonts w:hint="eastAsia" w:ascii="黑体" w:hAnsi="黑体" w:eastAsia="黑体" w:cs="黑体"/>
          <w:b/>
          <w:i w:val="0"/>
          <w:caps w:val="0"/>
          <w:color w:val="auto"/>
          <w:spacing w:val="0"/>
          <w:kern w:val="0"/>
          <w:sz w:val="36"/>
          <w:szCs w:val="36"/>
          <w:shd w:val="clear" w:fill="FFFFFF"/>
          <w:lang w:val="en-US" w:eastAsia="zh-CN" w:bidi="ar"/>
        </w:rPr>
        <w:t>关于拓宽证券投资咨询公司业务范围的通知</w:t>
      </w:r>
    </w:p>
    <w:p>
      <w:pPr>
        <w:keepNext w:val="0"/>
        <w:keepLines w:val="0"/>
        <w:pageBreakBefore w:val="0"/>
        <w:widowControl w:val="0"/>
        <w:suppressLineNumbers w:val="0"/>
        <w:shd w:val="clear" w:fill="FFFFFF"/>
        <w:kinsoku/>
        <w:wordWrap w:val="0"/>
        <w:overflowPunct/>
        <w:topLinePunct w:val="0"/>
        <w:autoSpaceDE/>
        <w:autoSpaceDN/>
        <w:bidi w:val="0"/>
        <w:adjustRightInd/>
        <w:snapToGrid/>
        <w:spacing w:beforeAutospacing="0" w:afterAutospacing="0" w:line="240" w:lineRule="auto"/>
        <w:ind w:left="0" w:leftChars="0" w:right="0" w:rightChars="0" w:firstLine="0" w:firstLineChars="0"/>
        <w:jc w:val="center"/>
        <w:textAlignment w:val="auto"/>
        <w:outlineLvl w:val="9"/>
        <w:rPr>
          <w:rFonts w:hint="eastAsia" w:ascii="仿宋" w:hAnsi="仿宋" w:eastAsia="仿宋" w:cs="仿宋"/>
          <w:b w:val="0"/>
          <w:i w:val="0"/>
          <w:caps w:val="0"/>
          <w:color w:val="000000"/>
          <w:spacing w:val="0"/>
          <w:sz w:val="24"/>
          <w:szCs w:val="24"/>
        </w:rPr>
      </w:pPr>
      <w:r>
        <w:rPr>
          <w:rFonts w:hint="eastAsia" w:ascii="仿宋" w:hAnsi="仿宋" w:eastAsia="仿宋" w:cs="仿宋"/>
          <w:b w:val="0"/>
          <w:i w:val="0"/>
          <w:caps w:val="0"/>
          <w:color w:val="000000"/>
          <w:spacing w:val="0"/>
          <w:kern w:val="0"/>
          <w:sz w:val="24"/>
          <w:szCs w:val="24"/>
          <w:shd w:val="clear" w:fill="FFFFFF"/>
          <w:lang w:val="en-US" w:eastAsia="zh-CN" w:bidi="ar"/>
        </w:rPr>
        <w:t>中证协发〔2015〕17号</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b w:val="0"/>
          <w:i w:val="0"/>
          <w:caps w:val="0"/>
          <w:color w:val="000000"/>
          <w:spacing w:val="0"/>
          <w:sz w:val="30"/>
          <w:szCs w:val="30"/>
          <w:shd w:val="clear" w:fill="FFFFFF"/>
        </w:rPr>
      </w:pP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各证券投资咨询公司：</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为贯彻落实《国务院关于进一步促进资本市场健康发展的若干意见》</w:t>
      </w:r>
      <w:r>
        <w:rPr>
          <w:rFonts w:hint="eastAsia" w:ascii="仿宋" w:hAnsi="仿宋" w:eastAsia="仿宋" w:cs="仿宋"/>
          <w:b w:val="0"/>
          <w:i w:val="0"/>
          <w:caps w:val="0"/>
          <w:color w:val="000000"/>
          <w:spacing w:val="0"/>
          <w:sz w:val="30"/>
          <w:szCs w:val="30"/>
          <w:shd w:val="clear" w:fill="FFFFFF"/>
          <w:lang w:val="en-US"/>
        </w:rPr>
        <w:t>(</w:t>
      </w:r>
      <w:r>
        <w:rPr>
          <w:rFonts w:hint="eastAsia" w:ascii="仿宋" w:hAnsi="仿宋" w:eastAsia="仿宋" w:cs="仿宋"/>
          <w:b w:val="0"/>
          <w:i w:val="0"/>
          <w:caps w:val="0"/>
          <w:color w:val="000000"/>
          <w:spacing w:val="0"/>
          <w:sz w:val="30"/>
          <w:szCs w:val="30"/>
          <w:shd w:val="clear" w:fill="FFFFFF"/>
        </w:rPr>
        <w:t>国发〔</w:t>
      </w:r>
      <w:r>
        <w:rPr>
          <w:rFonts w:hint="eastAsia" w:ascii="仿宋" w:hAnsi="仿宋" w:eastAsia="仿宋" w:cs="仿宋"/>
          <w:b w:val="0"/>
          <w:i w:val="0"/>
          <w:caps w:val="0"/>
          <w:color w:val="000000"/>
          <w:spacing w:val="0"/>
          <w:sz w:val="30"/>
          <w:szCs w:val="30"/>
          <w:shd w:val="clear" w:fill="FFFFFF"/>
          <w:lang w:val="en-US"/>
        </w:rPr>
        <w:t>2014</w:t>
      </w:r>
      <w:r>
        <w:rPr>
          <w:rFonts w:hint="eastAsia" w:ascii="仿宋" w:hAnsi="仿宋" w:eastAsia="仿宋" w:cs="仿宋"/>
          <w:b w:val="0"/>
          <w:i w:val="0"/>
          <w:caps w:val="0"/>
          <w:color w:val="000000"/>
          <w:spacing w:val="0"/>
          <w:sz w:val="30"/>
          <w:szCs w:val="30"/>
          <w:shd w:val="clear" w:fill="FFFFFF"/>
        </w:rPr>
        <w:t>〕</w:t>
      </w:r>
      <w:r>
        <w:rPr>
          <w:rFonts w:hint="eastAsia" w:ascii="仿宋" w:hAnsi="仿宋" w:eastAsia="仿宋" w:cs="仿宋"/>
          <w:b w:val="0"/>
          <w:i w:val="0"/>
          <w:caps w:val="0"/>
          <w:color w:val="000000"/>
          <w:spacing w:val="0"/>
          <w:sz w:val="30"/>
          <w:szCs w:val="30"/>
          <w:shd w:val="clear" w:fill="FFFFFF"/>
          <w:lang w:val="en-US"/>
        </w:rPr>
        <w:t>17</w:t>
      </w:r>
      <w:r>
        <w:rPr>
          <w:rFonts w:hint="eastAsia" w:ascii="仿宋" w:hAnsi="仿宋" w:eastAsia="仿宋" w:cs="仿宋"/>
          <w:b w:val="0"/>
          <w:i w:val="0"/>
          <w:caps w:val="0"/>
          <w:color w:val="000000"/>
          <w:spacing w:val="0"/>
          <w:sz w:val="30"/>
          <w:szCs w:val="30"/>
          <w:shd w:val="clear" w:fill="FFFFFF"/>
        </w:rPr>
        <w:t>号</w:t>
      </w:r>
      <w:r>
        <w:rPr>
          <w:rFonts w:hint="eastAsia" w:ascii="仿宋" w:hAnsi="仿宋" w:eastAsia="仿宋" w:cs="仿宋"/>
          <w:b w:val="0"/>
          <w:i w:val="0"/>
          <w:caps w:val="0"/>
          <w:color w:val="000000"/>
          <w:spacing w:val="0"/>
          <w:sz w:val="30"/>
          <w:szCs w:val="30"/>
          <w:shd w:val="clear" w:fill="FFFFFF"/>
          <w:lang w:val="en-US"/>
        </w:rPr>
        <w:t>)</w:t>
      </w:r>
      <w:r>
        <w:rPr>
          <w:rFonts w:hint="eastAsia" w:ascii="仿宋" w:hAnsi="仿宋" w:eastAsia="仿宋" w:cs="仿宋"/>
          <w:b w:val="0"/>
          <w:i w:val="0"/>
          <w:caps w:val="0"/>
          <w:color w:val="000000"/>
          <w:spacing w:val="0"/>
          <w:sz w:val="30"/>
          <w:szCs w:val="30"/>
          <w:shd w:val="clear" w:fill="FFFFFF"/>
        </w:rPr>
        <w:t>、《关于进一步推进证券经营机构创新发展的意见》</w:t>
      </w:r>
      <w:r>
        <w:rPr>
          <w:rFonts w:hint="eastAsia" w:ascii="仿宋" w:hAnsi="仿宋" w:eastAsia="仿宋" w:cs="仿宋"/>
          <w:b w:val="0"/>
          <w:i w:val="0"/>
          <w:caps w:val="0"/>
          <w:color w:val="000000"/>
          <w:spacing w:val="0"/>
          <w:sz w:val="30"/>
          <w:szCs w:val="30"/>
          <w:shd w:val="clear" w:fill="FFFFFF"/>
          <w:lang w:val="en-US"/>
        </w:rPr>
        <w:t>(</w:t>
      </w:r>
      <w:r>
        <w:rPr>
          <w:rFonts w:hint="eastAsia" w:ascii="仿宋" w:hAnsi="仿宋" w:eastAsia="仿宋" w:cs="仿宋"/>
          <w:b w:val="0"/>
          <w:i w:val="0"/>
          <w:caps w:val="0"/>
          <w:color w:val="000000"/>
          <w:spacing w:val="0"/>
          <w:sz w:val="30"/>
          <w:szCs w:val="30"/>
          <w:shd w:val="clear" w:fill="FFFFFF"/>
        </w:rPr>
        <w:t>证监发〔</w:t>
      </w:r>
      <w:r>
        <w:rPr>
          <w:rFonts w:hint="eastAsia" w:ascii="仿宋" w:hAnsi="仿宋" w:eastAsia="仿宋" w:cs="仿宋"/>
          <w:b w:val="0"/>
          <w:i w:val="0"/>
          <w:caps w:val="0"/>
          <w:color w:val="000000"/>
          <w:spacing w:val="0"/>
          <w:sz w:val="30"/>
          <w:szCs w:val="30"/>
          <w:shd w:val="clear" w:fill="FFFFFF"/>
          <w:lang w:val="en-US"/>
        </w:rPr>
        <w:t>2014</w:t>
      </w:r>
      <w:r>
        <w:rPr>
          <w:rFonts w:hint="eastAsia" w:ascii="仿宋" w:hAnsi="仿宋" w:eastAsia="仿宋" w:cs="仿宋"/>
          <w:b w:val="0"/>
          <w:i w:val="0"/>
          <w:caps w:val="0"/>
          <w:color w:val="000000"/>
          <w:spacing w:val="0"/>
          <w:sz w:val="30"/>
          <w:szCs w:val="30"/>
          <w:shd w:val="clear" w:fill="FFFFFF"/>
        </w:rPr>
        <w:t>〕</w:t>
      </w:r>
      <w:r>
        <w:rPr>
          <w:rFonts w:hint="eastAsia" w:ascii="仿宋" w:hAnsi="仿宋" w:eastAsia="仿宋" w:cs="仿宋"/>
          <w:b w:val="0"/>
          <w:i w:val="0"/>
          <w:caps w:val="0"/>
          <w:color w:val="000000"/>
          <w:spacing w:val="0"/>
          <w:sz w:val="30"/>
          <w:szCs w:val="30"/>
          <w:shd w:val="clear" w:fill="FFFFFF"/>
          <w:lang w:val="en-US"/>
        </w:rPr>
        <w:t>37</w:t>
      </w:r>
      <w:r>
        <w:rPr>
          <w:rFonts w:hint="eastAsia" w:ascii="仿宋" w:hAnsi="仿宋" w:eastAsia="仿宋" w:cs="仿宋"/>
          <w:b w:val="0"/>
          <w:i w:val="0"/>
          <w:caps w:val="0"/>
          <w:color w:val="000000"/>
          <w:spacing w:val="0"/>
          <w:sz w:val="30"/>
          <w:szCs w:val="30"/>
          <w:shd w:val="clear" w:fill="FFFFFF"/>
        </w:rPr>
        <w:t>号</w:t>
      </w:r>
      <w:r>
        <w:rPr>
          <w:rFonts w:hint="eastAsia" w:ascii="仿宋" w:hAnsi="仿宋" w:eastAsia="仿宋" w:cs="仿宋"/>
          <w:b w:val="0"/>
          <w:i w:val="0"/>
          <w:caps w:val="0"/>
          <w:color w:val="000000"/>
          <w:spacing w:val="0"/>
          <w:sz w:val="30"/>
          <w:szCs w:val="30"/>
          <w:shd w:val="clear" w:fill="FFFFFF"/>
          <w:lang w:val="en-US"/>
        </w:rPr>
        <w:t>),</w:t>
      </w:r>
      <w:r>
        <w:rPr>
          <w:rFonts w:hint="eastAsia" w:ascii="仿宋" w:hAnsi="仿宋" w:eastAsia="仿宋" w:cs="仿宋"/>
          <w:b w:val="0"/>
          <w:i w:val="0"/>
          <w:caps w:val="0"/>
          <w:color w:val="000000"/>
          <w:spacing w:val="0"/>
          <w:sz w:val="30"/>
          <w:szCs w:val="30"/>
          <w:shd w:val="clear" w:fill="FFFFFF"/>
        </w:rPr>
        <w:t>推进证券投资咨询公司与证券公司、基金管理公司、期货公司等交叉持牌，促进证券投资咨询公司创新发展，依据《证券法》、《基金法》、《私募投资基金监督管理暂行办法》等法律法规，现就证券投资咨询公司参与全国中小企业股份转让系统（以下简称“全国股转系统”）相关业务，以及开展有关私募业务通知如下：</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一、证券投资咨询公司在向中国证监会备案后可在全国股转系统开展公司挂牌推荐、做市业务。证券投资咨询公司在全国股转系统开展推荐、做市业务应遵守有关业务规定，建立相应内部管理制度，强化合规管理。</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证券投资咨询公司可申请在全国股转系统挂牌，通过全国股转系统进行股权转让，并利用全国股转系统补充资本，提升抗风险能力。</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二、证券投资咨询公司开展私募业务应当遵守私募业务有关规定。证券投资咨询公司开展私募业务包括开展私募投资基金（以下简称“私募基金”）管理业务和在机构间私募产品报价与服务系统（以下简称“报价系统”）开展私募证券业务。</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一）证券投资咨询公司开展私募基金管理业务，应当按照规定向中国证券投资基金业协会（以下简称“基金业协会”）办理登记备案手续，在办理完登记手续并取得私募基金管理人登记证明文件后方可从事私募基金管理业务。</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二）证券投资咨询公司在报价系统开展私募证券业务应向中证资本市场监测中心有限公司（以下简称“中证资本市场监测中心”）申请注册为报价系统参与人，在申请注册为报价系统参与人后可在报价系统申请开展私募产品投资、创设、推荐、代理交易等业务中一项或多项业务。在报价系统发行、转让的私募产品应当依法合规，资金投向应当符合法律法规和国家有关政策规定。</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三、证券投资咨询公司开展上述业务，应当遵循自愿、公平、诚实信用的原则，遵守法律、法规和有关自律规定，恪守职业道德和行为规范，勤勉尽责为客户提供相关服务。</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四、证券投资咨询公司开展上述业务，应当按照合格投资者标准和投资者适当性原则，做好产品销售和风险提示等工作，切实保护投资者合法权益。</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五、证券投资咨询公司应加强合规管理和风险控制，严格按照相应的业务规定，规范开展上述业务和证券投资咨询等业务，并建立健全存在利益冲突的业务之间信息隔离墙制度，防范内幕交易和利益冲突。证券投资咨询公司应当：</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（一）将私募基金管理与证券投资咨询、做市等业务从部门设置、人员职责等方面分开管理；</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（二）防范私募基金投资计划、投资产品等信息的不当流动和使用；</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（三）公平对待不同客户，不得进行利益输送或为特定客户利益损害其他客户利益；</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（四）不得利用开展私募基金管理、证券投资咨询、做市等业务进行市场操纵或者内幕交易。</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600" w:firstLineChars="0"/>
        <w:jc w:val="both"/>
        <w:textAlignment w:val="auto"/>
        <w:outlineLvl w:val="9"/>
        <w:rPr>
          <w:rFonts w:hint="eastAsia" w:ascii="仿宋" w:hAnsi="仿宋" w:eastAsia="仿宋" w:cs="仿宋"/>
          <w:b w:val="0"/>
          <w:i w:val="0"/>
          <w:caps w:val="0"/>
          <w:color w:val="000000"/>
          <w:spacing w:val="0"/>
          <w:sz w:val="30"/>
          <w:szCs w:val="30"/>
          <w:shd w:val="clear" w:fill="FFFFFF"/>
        </w:rPr>
      </w:pPr>
      <w:r>
        <w:rPr>
          <w:rFonts w:hint="eastAsia" w:ascii="仿宋" w:hAnsi="仿宋" w:eastAsia="仿宋" w:cs="仿宋"/>
          <w:b w:val="0"/>
          <w:i w:val="0"/>
          <w:caps w:val="0"/>
          <w:color w:val="000000"/>
          <w:spacing w:val="0"/>
          <w:sz w:val="30"/>
          <w:szCs w:val="30"/>
          <w:shd w:val="clear" w:fill="FFFFFF"/>
        </w:rPr>
        <w:t>五、证券投资咨询公司开展私募基金管理业务应接受基金业协会自律管理，在报价系统开展私募证券业务应接受中证资本市场监测中心运营管理，在全国股转系统开展推荐、做市业务应接受全国中小企业股份转让系统有限公司运营管理。</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600" w:firstLineChars="0"/>
        <w:jc w:val="both"/>
        <w:textAlignment w:val="auto"/>
        <w:outlineLvl w:val="9"/>
        <w:rPr>
          <w:rFonts w:hint="eastAsia" w:ascii="仿宋" w:hAnsi="仿宋" w:eastAsia="仿宋" w:cs="仿宋"/>
          <w:b w:val="0"/>
          <w:i w:val="0"/>
          <w:caps w:val="0"/>
          <w:color w:val="000000"/>
          <w:spacing w:val="0"/>
          <w:sz w:val="30"/>
          <w:szCs w:val="30"/>
          <w:shd w:val="clear" w:fill="FFFFFF"/>
        </w:rPr>
      </w:pP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600" w:firstLineChars="0"/>
        <w:jc w:val="both"/>
        <w:textAlignment w:val="auto"/>
        <w:outlineLvl w:val="9"/>
        <w:rPr>
          <w:rFonts w:hint="eastAsia" w:ascii="仿宋" w:hAnsi="仿宋" w:eastAsia="仿宋" w:cs="仿宋"/>
          <w:b w:val="0"/>
          <w:i w:val="0"/>
          <w:caps w:val="0"/>
          <w:color w:val="000000"/>
          <w:spacing w:val="0"/>
          <w:sz w:val="30"/>
          <w:szCs w:val="30"/>
          <w:shd w:val="clear" w:fill="FFFFFF"/>
        </w:rPr>
      </w:pPr>
      <w:bookmarkStart w:id="0" w:name="_GoBack"/>
      <w:bookmarkEnd w:id="0"/>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中国证券业协会</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2015</w:t>
      </w:r>
      <w:r>
        <w:rPr>
          <w:rFonts w:hint="eastAsia" w:ascii="仿宋" w:hAnsi="仿宋" w:eastAsia="仿宋" w:cs="仿宋"/>
          <w:b w:val="0"/>
          <w:i w:val="0"/>
          <w:caps w:val="0"/>
          <w:color w:val="000000"/>
          <w:spacing w:val="0"/>
          <w:sz w:val="30"/>
          <w:szCs w:val="30"/>
          <w:shd w:val="clear" w:fill="FFFFFF"/>
        </w:rPr>
        <w:t>年</w:t>
      </w:r>
      <w:r>
        <w:rPr>
          <w:rFonts w:hint="eastAsia" w:ascii="仿宋" w:hAnsi="仿宋" w:eastAsia="仿宋" w:cs="仿宋"/>
          <w:b w:val="0"/>
          <w:i w:val="0"/>
          <w:caps w:val="0"/>
          <w:color w:val="000000"/>
          <w:spacing w:val="0"/>
          <w:sz w:val="30"/>
          <w:szCs w:val="30"/>
          <w:shd w:val="clear" w:fill="FFFFFF"/>
          <w:lang w:val="en-US"/>
        </w:rPr>
        <w:t>1</w:t>
      </w:r>
      <w:r>
        <w:rPr>
          <w:rFonts w:hint="eastAsia" w:ascii="仿宋" w:hAnsi="仿宋" w:eastAsia="仿宋" w:cs="仿宋"/>
          <w:b w:val="0"/>
          <w:i w:val="0"/>
          <w:caps w:val="0"/>
          <w:color w:val="000000"/>
          <w:spacing w:val="0"/>
          <w:sz w:val="30"/>
          <w:szCs w:val="30"/>
          <w:shd w:val="clear" w:fill="FFFFFF"/>
        </w:rPr>
        <w:t>月</w:t>
      </w:r>
      <w:r>
        <w:rPr>
          <w:rFonts w:hint="eastAsia" w:ascii="仿宋" w:hAnsi="仿宋" w:eastAsia="仿宋" w:cs="仿宋"/>
          <w:b w:val="0"/>
          <w:i w:val="0"/>
          <w:caps w:val="0"/>
          <w:color w:val="000000"/>
          <w:spacing w:val="0"/>
          <w:sz w:val="30"/>
          <w:szCs w:val="30"/>
          <w:shd w:val="clear" w:fill="FFFFFF"/>
          <w:lang w:val="en-US"/>
        </w:rPr>
        <w:t>19</w:t>
      </w:r>
      <w:r>
        <w:rPr>
          <w:rFonts w:hint="eastAsia" w:ascii="仿宋" w:hAnsi="仿宋" w:eastAsia="仿宋" w:cs="仿宋"/>
          <w:b w:val="0"/>
          <w:i w:val="0"/>
          <w:caps w:val="0"/>
          <w:color w:val="000000"/>
          <w:spacing w:val="0"/>
          <w:sz w:val="30"/>
          <w:szCs w:val="30"/>
          <w:shd w:val="clear" w:fill="FFFFFF"/>
        </w:rPr>
        <w:t>日</w:t>
      </w:r>
    </w:p>
    <w:p>
      <w:pPr>
        <w:keepNext w:val="0"/>
        <w:keepLines w:val="0"/>
        <w:pageBreakBefore w:val="0"/>
        <w:widowControl w:val="0"/>
        <w:kinsoku/>
        <w:overflowPunct/>
        <w:topLinePunct w:val="0"/>
        <w:autoSpaceDE/>
        <w:autoSpaceDN/>
        <w:bidi w:val="0"/>
        <w:adjustRightInd/>
        <w:snapToGrid/>
        <w:spacing w:beforeAutospacing="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5C017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2018-01-04T07:55:54Z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